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FE68" w14:textId="77777777" w:rsidR="00EF1AF6" w:rsidRPr="00EF1AF6" w:rsidRDefault="00EF1AF6" w:rsidP="00EF1AF6">
      <w:pPr>
        <w:rPr>
          <w:b/>
          <w:bCs/>
        </w:rPr>
      </w:pPr>
      <w:r w:rsidRPr="00EF1AF6">
        <w:rPr>
          <w:b/>
          <w:bCs/>
        </w:rPr>
        <w:t>보도자료</w:t>
      </w:r>
    </w:p>
    <w:p w14:paraId="217A8645" w14:textId="009799EF" w:rsidR="00EF1AF6" w:rsidRPr="00EF1AF6" w:rsidRDefault="00EF1AF6" w:rsidP="00EF1AF6">
      <w:pPr>
        <w:rPr>
          <w:b/>
          <w:bCs/>
        </w:rPr>
      </w:pPr>
      <w:r w:rsidRPr="00EF1AF6">
        <w:rPr>
          <w:b/>
          <w:bCs/>
        </w:rPr>
        <w:t>2026년 2월 2</w:t>
      </w:r>
      <w:r w:rsidR="00FD4996">
        <w:rPr>
          <w:rFonts w:hint="eastAsia"/>
          <w:b/>
          <w:bCs/>
        </w:rPr>
        <w:t>6</w:t>
      </w:r>
      <w:r w:rsidRPr="00EF1AF6">
        <w:rPr>
          <w:b/>
          <w:bCs/>
        </w:rPr>
        <w:t>일</w:t>
      </w:r>
    </w:p>
    <w:p w14:paraId="747DB82A" w14:textId="77777777" w:rsidR="00EF1AF6" w:rsidRPr="00EF1AF6" w:rsidRDefault="00EF1AF6" w:rsidP="00EF1AF6">
      <w:pPr>
        <w:rPr>
          <w:b/>
          <w:bCs/>
        </w:rPr>
      </w:pPr>
      <w:proofErr w:type="spellStart"/>
      <w:r w:rsidRPr="00EF1AF6">
        <w:rPr>
          <w:b/>
          <w:bCs/>
        </w:rPr>
        <w:t>밸류파트너스자산운용</w:t>
      </w:r>
      <w:proofErr w:type="spellEnd"/>
      <w:r w:rsidRPr="00EF1AF6">
        <w:rPr>
          <w:b/>
          <w:bCs/>
        </w:rPr>
        <w:t xml:space="preserve">, </w:t>
      </w:r>
      <w:proofErr w:type="spellStart"/>
      <w:r w:rsidRPr="00EF1AF6">
        <w:rPr>
          <w:b/>
          <w:bCs/>
        </w:rPr>
        <w:t>쿠쿠홀딩스에</w:t>
      </w:r>
      <w:proofErr w:type="spellEnd"/>
      <w:r w:rsidRPr="00EF1AF6">
        <w:rPr>
          <w:b/>
          <w:bCs/>
        </w:rPr>
        <w:t xml:space="preserve"> 주주가치 제고 주주서신 전달</w:t>
      </w:r>
    </w:p>
    <w:p w14:paraId="160F2A52" w14:textId="77777777" w:rsidR="00EF1AF6" w:rsidRPr="00EF1AF6" w:rsidRDefault="00EF1AF6" w:rsidP="00EF1AF6">
      <w:pPr>
        <w:rPr>
          <w:b/>
          <w:bCs/>
        </w:rPr>
      </w:pPr>
      <w:r w:rsidRPr="00EF1AF6">
        <w:rPr>
          <w:b/>
          <w:bCs/>
        </w:rPr>
        <w:t>“저평가 해소 위해 대규모 자사주 매입·소각 및 특별배당 실행 필요”</w:t>
      </w:r>
    </w:p>
    <w:p w14:paraId="5ED73BD1" w14:textId="77777777" w:rsidR="00EF1AF6" w:rsidRPr="00EF1AF6" w:rsidRDefault="00EF1AF6" w:rsidP="00EF1AF6">
      <w:pPr>
        <w:rPr>
          <w:b/>
          <w:bCs/>
        </w:rPr>
      </w:pPr>
      <w:proofErr w:type="spellStart"/>
      <w:r w:rsidRPr="00EF1AF6">
        <w:rPr>
          <w:b/>
          <w:bCs/>
        </w:rPr>
        <w:t>밸류파트너스자산운용㈜는</w:t>
      </w:r>
      <w:proofErr w:type="spellEnd"/>
      <w:r w:rsidRPr="00EF1AF6">
        <w:rPr>
          <w:b/>
          <w:bCs/>
        </w:rPr>
        <w:t xml:space="preserve"> ㈜</w:t>
      </w:r>
      <w:proofErr w:type="spellStart"/>
      <w:r w:rsidRPr="00EF1AF6">
        <w:rPr>
          <w:b/>
          <w:bCs/>
        </w:rPr>
        <w:t>쿠쿠홀딩스</w:t>
      </w:r>
      <w:proofErr w:type="spellEnd"/>
      <w:r w:rsidRPr="00EF1AF6">
        <w:rPr>
          <w:b/>
          <w:bCs/>
        </w:rPr>
        <w:t xml:space="preserve"> 경영진 및 이사회에 주주가치 제고를 위한 주주서신을 전달했다고 밝혔다. </w:t>
      </w:r>
      <w:proofErr w:type="spellStart"/>
      <w:r w:rsidRPr="00EF1AF6">
        <w:rPr>
          <w:b/>
          <w:bCs/>
        </w:rPr>
        <w:t>밸류파트너스는</w:t>
      </w:r>
      <w:proofErr w:type="spellEnd"/>
      <w:r w:rsidRPr="00EF1AF6">
        <w:rPr>
          <w:b/>
          <w:bCs/>
        </w:rPr>
        <w:t xml:space="preserve"> 펀드·일임·자문 계좌를 통해 </w:t>
      </w:r>
      <w:proofErr w:type="spellStart"/>
      <w:r w:rsidRPr="00EF1AF6">
        <w:rPr>
          <w:b/>
          <w:bCs/>
        </w:rPr>
        <w:t>쿠쿠홀딩스</w:t>
      </w:r>
      <w:proofErr w:type="spellEnd"/>
      <w:r w:rsidRPr="00EF1AF6">
        <w:rPr>
          <w:b/>
          <w:bCs/>
        </w:rPr>
        <w:t xml:space="preserve"> 주식을 장기간 보유해 온 주요 주주다.</w:t>
      </w:r>
    </w:p>
    <w:p w14:paraId="021EAB54" w14:textId="77777777" w:rsidR="00EF1AF6" w:rsidRPr="00EF1AF6" w:rsidRDefault="00EF1AF6" w:rsidP="00EF1AF6">
      <w:pPr>
        <w:rPr>
          <w:b/>
          <w:bCs/>
        </w:rPr>
      </w:pPr>
      <w:r w:rsidRPr="00EF1AF6">
        <w:rPr>
          <w:b/>
          <w:bCs/>
        </w:rPr>
        <w:t xml:space="preserve">회사 측은 “현재 </w:t>
      </w:r>
      <w:proofErr w:type="spellStart"/>
      <w:r w:rsidRPr="00EF1AF6">
        <w:rPr>
          <w:b/>
          <w:bCs/>
        </w:rPr>
        <w:t>쿠쿠홀딩스는</w:t>
      </w:r>
      <w:proofErr w:type="spellEnd"/>
      <w:r w:rsidRPr="00EF1AF6">
        <w:rPr>
          <w:b/>
          <w:bCs/>
        </w:rPr>
        <w:t xml:space="preserve"> 자산가치와 수익가치 측면에서 모두 극단적인 저평가 국면에 놓여 있다”</w:t>
      </w:r>
      <w:proofErr w:type="spellStart"/>
      <w:r w:rsidRPr="00EF1AF6">
        <w:rPr>
          <w:b/>
          <w:bCs/>
        </w:rPr>
        <w:t>며</w:t>
      </w:r>
      <w:proofErr w:type="spellEnd"/>
      <w:r w:rsidRPr="00EF1AF6">
        <w:rPr>
          <w:b/>
          <w:bCs/>
        </w:rPr>
        <w:t xml:space="preserve"> 적극적인 자본배분 정책 전환을 촉구했다.</w:t>
      </w:r>
    </w:p>
    <w:p w14:paraId="6D9F664B" w14:textId="77777777" w:rsidR="00EF1AF6" w:rsidRPr="00EF1AF6" w:rsidRDefault="00EF1AF6" w:rsidP="00EF1AF6">
      <w:pPr>
        <w:rPr>
          <w:b/>
          <w:bCs/>
        </w:rPr>
      </w:pPr>
      <w:proofErr w:type="spellStart"/>
      <w:r w:rsidRPr="00EF1AF6">
        <w:rPr>
          <w:b/>
          <w:bCs/>
        </w:rPr>
        <w:t>쿠쿠홀딩스는</w:t>
      </w:r>
      <w:proofErr w:type="spellEnd"/>
      <w:r w:rsidRPr="00EF1AF6">
        <w:rPr>
          <w:b/>
          <w:bCs/>
        </w:rPr>
        <w:t xml:space="preserve"> 자사주 12.6%를 보유하고 있으며, 주가 29,800원(시가총액 약 1.06조 원) 기준 전년 말 장부가 대비 PBR 0.8배, 전년 순이익 기준 PER 7배 미만 수준이다. 또한 순현금성 자산 약 4,500억 원을 보유하고 있어 자사주를 고려할 경우 실질 기업가치는 더욱 저평가된 상태라는 설명이다. 회사는 2025년 매출액 9,376억 원(+12.5% YoY), 순이익 1,519억 원(+11% YoY)을 공시했다.</w:t>
      </w:r>
    </w:p>
    <w:p w14:paraId="56F67ECF" w14:textId="1DD7F38C" w:rsidR="00295802" w:rsidRDefault="00295802" w:rsidP="00EF1AF6"/>
    <w:p w14:paraId="70E88BE0" w14:textId="77777777" w:rsidR="00EF1AF6" w:rsidRPr="00EF1AF6" w:rsidRDefault="00EF1AF6" w:rsidP="00EF1AF6">
      <w:pPr>
        <w:rPr>
          <w:b/>
          <w:bCs/>
        </w:rPr>
      </w:pPr>
      <w:r w:rsidRPr="00EF1AF6">
        <w:rPr>
          <w:b/>
          <w:bCs/>
        </w:rPr>
        <w:t>■ “저평가 국면은 기회”… 자사주 매입·소각 요구</w:t>
      </w:r>
    </w:p>
    <w:p w14:paraId="197E67C2" w14:textId="77777777" w:rsidR="00A114C4" w:rsidRDefault="00EF1AF6" w:rsidP="00EF1AF6">
      <w:proofErr w:type="spellStart"/>
      <w:r w:rsidRPr="00EF1AF6">
        <w:t>밸류파트너스는</w:t>
      </w:r>
      <w:proofErr w:type="spellEnd"/>
      <w:r w:rsidRPr="00EF1AF6">
        <w:t xml:space="preserve"> 내재가치 대비 낮은 주가 수준에서 대규모 자사주 매입 후 소각을 실행할 경우 주당가치가 크게 상승할 수 있다고 강조했다.</w:t>
      </w:r>
      <w:r w:rsidR="000E45DA" w:rsidRPr="000E45DA">
        <w:t xml:space="preserve"> 지나치게 많은 </w:t>
      </w:r>
      <w:proofErr w:type="spellStart"/>
      <w:r w:rsidR="000E45DA" w:rsidRPr="000E45DA">
        <w:t>현금성</w:t>
      </w:r>
      <w:proofErr w:type="spellEnd"/>
      <w:r w:rsidR="000E45DA" w:rsidRPr="000E45DA">
        <w:t xml:space="preserve"> 자산을 보유함으로써 ROE가 하락하고, 그 결과 주당가치 증가율이 둔화되며, 이는 결국 저평가로 이어지고 있다.</w:t>
      </w:r>
    </w:p>
    <w:p w14:paraId="6E0FD7C9" w14:textId="66B06E25" w:rsidR="00EF1AF6" w:rsidRPr="00EF1AF6" w:rsidRDefault="00EF1AF6" w:rsidP="00EF1AF6">
      <w:r w:rsidRPr="00EF1AF6">
        <w:t>특히 기존 교환사채(EB) 조건(교환가격 주당 39,050원, 약 900억 원 규모)을 고려할 때, 현재 주가 수준에서 자사주를 매입할 경우 향후 교환 청구 시 주당 약 1만 원 수준의 현금 유입 효과</w:t>
      </w:r>
      <w:r w:rsidR="00AE5BF9">
        <w:rPr>
          <w:rFonts w:hint="eastAsia"/>
        </w:rPr>
        <w:t>(</w:t>
      </w:r>
      <w:proofErr w:type="spellStart"/>
      <w:r w:rsidR="00AE5BF9">
        <w:rPr>
          <w:rFonts w:hint="eastAsia"/>
        </w:rPr>
        <w:t>무위험</w:t>
      </w:r>
      <w:r w:rsidR="00EE323D">
        <w:rPr>
          <w:rFonts w:hint="eastAsia"/>
        </w:rPr>
        <w:t>주주가치창출</w:t>
      </w:r>
      <w:proofErr w:type="spellEnd"/>
      <w:r w:rsidR="00AE5BF9">
        <w:rPr>
          <w:rFonts w:hint="eastAsia"/>
        </w:rPr>
        <w:t>)</w:t>
      </w:r>
      <w:r w:rsidRPr="00EF1AF6">
        <w:t>를 기대할 수 있는 구조라고 설명했다. 이는 기존 주주의 지분 희석 없이 재무 유연성과 주당가치를 동시에 제고할 수 있는 방안이라는 입장이다.</w:t>
      </w:r>
    </w:p>
    <w:p w14:paraId="70D63BF1" w14:textId="7FA1548C" w:rsidR="00EF1AF6" w:rsidRPr="00EF1AF6" w:rsidRDefault="00EF1AF6" w:rsidP="00EF1AF6"/>
    <w:p w14:paraId="65C68B8D" w14:textId="0D9631FF" w:rsidR="00EF1AF6" w:rsidRPr="00EF1AF6" w:rsidRDefault="00EF1AF6" w:rsidP="00EF1AF6">
      <w:pPr>
        <w:rPr>
          <w:b/>
          <w:bCs/>
        </w:rPr>
      </w:pPr>
      <w:r w:rsidRPr="00EF1AF6">
        <w:rPr>
          <w:b/>
          <w:bCs/>
        </w:rPr>
        <w:t xml:space="preserve">■ </w:t>
      </w:r>
      <w:r w:rsidR="00EE323D">
        <w:rPr>
          <w:rFonts w:hint="eastAsia"/>
          <w:b/>
          <w:bCs/>
        </w:rPr>
        <w:t xml:space="preserve">비과세 </w:t>
      </w:r>
      <w:r w:rsidRPr="00EF1AF6">
        <w:rPr>
          <w:b/>
          <w:bCs/>
        </w:rPr>
        <w:t>감액배당 재원 1,892억 원, 특별배당 일시 지급 제안</w:t>
      </w:r>
    </w:p>
    <w:p w14:paraId="0CE49BEF" w14:textId="77777777" w:rsidR="00EF1AF6" w:rsidRPr="00EF1AF6" w:rsidRDefault="00EF1AF6" w:rsidP="00EF1AF6">
      <w:proofErr w:type="spellStart"/>
      <w:r w:rsidRPr="00EF1AF6">
        <w:t>밸류파트너스는</w:t>
      </w:r>
      <w:proofErr w:type="spellEnd"/>
      <w:r w:rsidRPr="00EF1AF6">
        <w:t xml:space="preserve"> 비과세 감액배당 재원 약 1,892억 원을 2025년 특별배당으로 전액 지급하고, 2026년부터 분기배당을 도입해 연결 기준 배당성향 40% 이상을 유지할 것을 제안했다.</w:t>
      </w:r>
    </w:p>
    <w:p w14:paraId="393ECF08" w14:textId="77777777" w:rsidR="00EF1AF6" w:rsidRPr="00EF1AF6" w:rsidRDefault="00EF1AF6" w:rsidP="00EF1AF6">
      <w:r w:rsidRPr="00EF1AF6">
        <w:lastRenderedPageBreak/>
        <w:t>2026년부터 3년 한시 적용되는 배당소득 분리과세 제도의 ‘우수법인’ 요건을 충족하기 위해서는 배당성향 상향이 필수적이라는 설명이다.</w:t>
      </w:r>
    </w:p>
    <w:p w14:paraId="39992A04" w14:textId="77777777" w:rsidR="00EF1AF6" w:rsidRPr="00EF1AF6" w:rsidRDefault="00EF1AF6" w:rsidP="00EF1AF6">
      <w:r w:rsidRPr="00EF1AF6">
        <w:t>또한 “감액배당 재원은 주주가 납입한 자본의 환급 성격으로, 이를 유보할 합리적 이유가 없다”고 강조했다.</w:t>
      </w:r>
    </w:p>
    <w:p w14:paraId="43EDB990" w14:textId="6B358547" w:rsidR="00EF1AF6" w:rsidRPr="00EF1AF6" w:rsidRDefault="00EF1AF6" w:rsidP="00EF1AF6"/>
    <w:p w14:paraId="11F4A88D" w14:textId="77777777" w:rsidR="00EF1AF6" w:rsidRPr="00EF1AF6" w:rsidRDefault="00EF1AF6" w:rsidP="00EF1AF6">
      <w:pPr>
        <w:rPr>
          <w:b/>
          <w:bCs/>
        </w:rPr>
      </w:pPr>
      <w:r w:rsidRPr="00EF1AF6">
        <w:rPr>
          <w:b/>
          <w:bCs/>
        </w:rPr>
        <w:t xml:space="preserve">■ </w:t>
      </w:r>
      <w:proofErr w:type="spellStart"/>
      <w:r w:rsidRPr="00EF1AF6">
        <w:rPr>
          <w:b/>
          <w:bCs/>
        </w:rPr>
        <w:t>쿠쿠홈시스</w:t>
      </w:r>
      <w:proofErr w:type="spellEnd"/>
      <w:r w:rsidRPr="00EF1AF6">
        <w:rPr>
          <w:b/>
          <w:bCs/>
        </w:rPr>
        <w:t xml:space="preserve"> 지분 50% 이상 확대… 세제 효율성 극대화</w:t>
      </w:r>
    </w:p>
    <w:p w14:paraId="71F2D787" w14:textId="77777777" w:rsidR="00EF1AF6" w:rsidRPr="00EF1AF6" w:rsidRDefault="00EF1AF6" w:rsidP="00EF1AF6">
      <w:r w:rsidRPr="00EF1AF6">
        <w:t xml:space="preserve">현재 약 40.5%인 </w:t>
      </w:r>
      <w:proofErr w:type="spellStart"/>
      <w:r w:rsidRPr="00EF1AF6">
        <w:t>쿠쿠홈시스</w:t>
      </w:r>
      <w:proofErr w:type="spellEnd"/>
      <w:r w:rsidRPr="00EF1AF6">
        <w:t xml:space="preserve"> 유효지분율을 50% 이상으로 확대할 경우, 배당수익이 </w:t>
      </w:r>
      <w:proofErr w:type="spellStart"/>
      <w:r w:rsidRPr="00EF1AF6">
        <w:t>익금불산입</w:t>
      </w:r>
      <w:proofErr w:type="spellEnd"/>
      <w:r w:rsidRPr="00EF1AF6">
        <w:t xml:space="preserve"> 대상이 되어 법인세 부담이 사실상 제거된다고 밝혔다. 이를 위한 가장 확실하고 효율적인 방법으로 </w:t>
      </w:r>
      <w:proofErr w:type="spellStart"/>
      <w:r w:rsidRPr="00EF1AF6">
        <w:t>쿠쿠홈시스의</w:t>
      </w:r>
      <w:proofErr w:type="spellEnd"/>
      <w:r w:rsidRPr="00EF1AF6">
        <w:t xml:space="preserve"> 대규모 자사주 매입을 제시했다.</w:t>
      </w:r>
    </w:p>
    <w:p w14:paraId="0C4339A0" w14:textId="77777777" w:rsidR="00EF1AF6" w:rsidRPr="00EF1AF6" w:rsidRDefault="00EF1AF6" w:rsidP="00EF1AF6">
      <w:proofErr w:type="spellStart"/>
      <w:r w:rsidRPr="00EF1AF6">
        <w:t>쿠쿠홈시스는</w:t>
      </w:r>
      <w:proofErr w:type="spellEnd"/>
      <w:r w:rsidRPr="00EF1AF6">
        <w:t xml:space="preserve"> 2024년 순이익 약 1,360억 원을 기록했으며, 지분율 50% 이상 확보 시 연간 약 110억 원의 배당금이 세금 부담 없이 유입될 수 있다. 향후 10년간 누적 1,100억 원 이상의 효과가 가능하다는 분석이다.</w:t>
      </w:r>
    </w:p>
    <w:p w14:paraId="0A06720A" w14:textId="77777777" w:rsidR="00EF1AF6" w:rsidRPr="00EF1AF6" w:rsidRDefault="00EF1AF6" w:rsidP="00EF1AF6">
      <w:proofErr w:type="spellStart"/>
      <w:r w:rsidRPr="00EF1AF6">
        <w:t>쿠쿠홈시스는</w:t>
      </w:r>
      <w:proofErr w:type="spellEnd"/>
      <w:r w:rsidRPr="00EF1AF6">
        <w:t xml:space="preserve"> 2025년 예상 기준 PBR 0.51배, PER 5배 수준으로 거래되고 있다.</w:t>
      </w:r>
    </w:p>
    <w:p w14:paraId="3451A4FA" w14:textId="7F46EFE6" w:rsidR="00EF1AF6" w:rsidRPr="00EF1AF6" w:rsidRDefault="00EF1AF6" w:rsidP="00EF1AF6"/>
    <w:p w14:paraId="3B32DF44" w14:textId="77777777" w:rsidR="00EF1AF6" w:rsidRPr="00EF1AF6" w:rsidRDefault="00EF1AF6" w:rsidP="00EF1AF6">
      <w:pPr>
        <w:rPr>
          <w:b/>
          <w:bCs/>
        </w:rPr>
      </w:pPr>
      <w:r w:rsidRPr="00EF1AF6">
        <w:rPr>
          <w:b/>
          <w:bCs/>
        </w:rPr>
        <w:t>■ “ROE를 경영진 KPI로 명확히 설정해야”</w:t>
      </w:r>
    </w:p>
    <w:p w14:paraId="29AC0261" w14:textId="77777777" w:rsidR="00EF1AF6" w:rsidRPr="00EF1AF6" w:rsidRDefault="00EF1AF6" w:rsidP="00EF1AF6">
      <w:proofErr w:type="spellStart"/>
      <w:r w:rsidRPr="00EF1AF6">
        <w:t>밸류파트너스는</w:t>
      </w:r>
      <w:proofErr w:type="spellEnd"/>
      <w:r w:rsidRPr="00EF1AF6">
        <w:t xml:space="preserve"> ROE(자기자본이익률)와 주당 순자산가치 증가율을 경영진 핵심성과지표(KPI)에 명확히 반영하고, 보상체계와 연동할 것을 요청했다.</w:t>
      </w:r>
    </w:p>
    <w:p w14:paraId="46E41270" w14:textId="77777777" w:rsidR="00EF1AF6" w:rsidRPr="00EF1AF6" w:rsidRDefault="00EF1AF6" w:rsidP="00EF1AF6">
      <w:r w:rsidRPr="00EF1AF6">
        <w:t>“과도한 현금 보유는 구조적으로 ROE를 낮추고 지속적인 할인 요인이 된다”</w:t>
      </w:r>
      <w:proofErr w:type="spellStart"/>
      <w:r w:rsidRPr="00EF1AF6">
        <w:t>며</w:t>
      </w:r>
      <w:proofErr w:type="spellEnd"/>
      <w:r w:rsidRPr="00EF1AF6">
        <w:t xml:space="preserve"> </w:t>
      </w:r>
      <w:proofErr w:type="spellStart"/>
      <w:r w:rsidRPr="00EF1AF6">
        <w:t>비핵심</w:t>
      </w:r>
      <w:proofErr w:type="spellEnd"/>
      <w:r w:rsidRPr="00EF1AF6">
        <w:t xml:space="preserve"> 자산 매각과 자본 재배치를 통한 적극적 주주환원을 강조했다.</w:t>
      </w:r>
    </w:p>
    <w:p w14:paraId="36A42C4D" w14:textId="5F6E352D" w:rsidR="00EF1AF6" w:rsidRPr="00EF1AF6" w:rsidRDefault="00EF1AF6" w:rsidP="00EF1AF6"/>
    <w:p w14:paraId="3EE77325" w14:textId="21FAEB79" w:rsidR="00EF1AF6" w:rsidRPr="00EF1AF6" w:rsidRDefault="00EF1AF6" w:rsidP="00EF1AF6"/>
    <w:p w14:paraId="50392A2F" w14:textId="373CC0A0" w:rsidR="00EF1AF6" w:rsidRPr="00EF1AF6" w:rsidRDefault="00EF1AF6" w:rsidP="00EF1AF6">
      <w:pPr>
        <w:rPr>
          <w:b/>
          <w:bCs/>
        </w:rPr>
      </w:pPr>
      <w:r w:rsidRPr="00EF1AF6">
        <w:rPr>
          <w:b/>
          <w:bCs/>
        </w:rPr>
        <w:t xml:space="preserve">■ “합리적 자본배분이 </w:t>
      </w:r>
      <w:r>
        <w:rPr>
          <w:rFonts w:hint="eastAsia"/>
          <w:b/>
          <w:bCs/>
        </w:rPr>
        <w:t>주당</w:t>
      </w:r>
      <w:r w:rsidRPr="00EF1AF6">
        <w:rPr>
          <w:b/>
          <w:bCs/>
        </w:rPr>
        <w:t>가치 재평가의 출발점”</w:t>
      </w:r>
    </w:p>
    <w:p w14:paraId="3C141B73" w14:textId="77777777" w:rsidR="00EF1AF6" w:rsidRPr="00EF1AF6" w:rsidRDefault="00EF1AF6" w:rsidP="00EF1AF6">
      <w:proofErr w:type="spellStart"/>
      <w:r w:rsidRPr="00EF1AF6">
        <w:t>밸류파트너스</w:t>
      </w:r>
      <w:proofErr w:type="spellEnd"/>
      <w:r w:rsidRPr="00EF1AF6">
        <w:t xml:space="preserve"> 관계자는</w:t>
      </w:r>
      <w:r w:rsidRPr="00EF1AF6">
        <w:br/>
        <w:t>“</w:t>
      </w:r>
      <w:proofErr w:type="spellStart"/>
      <w:r w:rsidRPr="00EF1AF6">
        <w:t>쿠쿠홀딩스는</w:t>
      </w:r>
      <w:proofErr w:type="spellEnd"/>
      <w:r w:rsidRPr="00EF1AF6">
        <w:t xml:space="preserve"> 본질적 경쟁력과 </w:t>
      </w:r>
      <w:proofErr w:type="spellStart"/>
      <w:r w:rsidRPr="00EF1AF6">
        <w:t>현금창출력을</w:t>
      </w:r>
      <w:proofErr w:type="spellEnd"/>
      <w:r w:rsidRPr="00EF1AF6">
        <w:t xml:space="preserve"> 보유하고 있음에도 시장에서 심각한 저평가를 받고 있다”</w:t>
      </w:r>
      <w:proofErr w:type="spellStart"/>
      <w:r w:rsidRPr="00EF1AF6">
        <w:t>며</w:t>
      </w:r>
      <w:proofErr w:type="spellEnd"/>
    </w:p>
    <w:p w14:paraId="6A6DE477" w14:textId="77777777" w:rsidR="00EF1AF6" w:rsidRPr="00EF1AF6" w:rsidRDefault="00EF1AF6" w:rsidP="00EF1AF6">
      <w:r w:rsidRPr="00EF1AF6">
        <w:t>“대규모 자사주 매입·소각, 특별배당, 소유구조의 이해 정렬을 통해 주당가치를 명확히 제고한다면, 주가는 결국 주당 내재가치를 반영하게 될 것”이라고 밝혔다.</w:t>
      </w:r>
    </w:p>
    <w:p w14:paraId="6446977F" w14:textId="77777777" w:rsidR="00EF1AF6" w:rsidRDefault="00EF1AF6" w:rsidP="00EF1AF6"/>
    <w:p w14:paraId="78A40A4D" w14:textId="77777777" w:rsidR="000965D3" w:rsidRDefault="000965D3" w:rsidP="00EF1AF6"/>
    <w:p w14:paraId="5E54B260" w14:textId="77777777" w:rsidR="000965D3" w:rsidRDefault="000965D3" w:rsidP="00EF1AF6"/>
    <w:p w14:paraId="7F9DC57D" w14:textId="77777777" w:rsidR="000965D3" w:rsidRPr="00EF1AF6" w:rsidRDefault="000965D3" w:rsidP="000965D3">
      <w:pPr>
        <w:rPr>
          <w:b/>
          <w:bCs/>
        </w:rPr>
      </w:pPr>
      <w:r w:rsidRPr="00EF1AF6">
        <w:rPr>
          <w:b/>
          <w:bCs/>
        </w:rPr>
        <w:t>■ 해외 성장 및 제품 다각화 성과는 긍정 평가</w:t>
      </w:r>
    </w:p>
    <w:p w14:paraId="62AE4199" w14:textId="77777777" w:rsidR="000965D3" w:rsidRPr="00EF1AF6" w:rsidRDefault="000965D3" w:rsidP="000965D3">
      <w:r w:rsidRPr="00EF1AF6">
        <w:t xml:space="preserve">한편 </w:t>
      </w:r>
      <w:proofErr w:type="spellStart"/>
      <w:r w:rsidRPr="00EF1AF6">
        <w:t>밸류파트너스는</w:t>
      </w:r>
      <w:proofErr w:type="spellEnd"/>
      <w:r w:rsidRPr="00EF1AF6">
        <w:t xml:space="preserve"> </w:t>
      </w:r>
      <w:proofErr w:type="spellStart"/>
      <w:r w:rsidRPr="00EF1AF6">
        <w:t>쿠쿠홀딩스의</w:t>
      </w:r>
      <w:proofErr w:type="spellEnd"/>
      <w:r w:rsidRPr="00EF1AF6">
        <w:t xml:space="preserve"> 영업 성과에 대해서는 긍정적으로 평가했다.</w:t>
      </w:r>
    </w:p>
    <w:p w14:paraId="521767B8" w14:textId="77777777" w:rsidR="000965D3" w:rsidRPr="00EF1AF6" w:rsidRDefault="000965D3" w:rsidP="000965D3">
      <w:pPr>
        <w:numPr>
          <w:ilvl w:val="0"/>
          <w:numId w:val="2"/>
        </w:numPr>
      </w:pPr>
      <w:r w:rsidRPr="00EF1AF6">
        <w:t>2017~2024년 수출액 연평균 성장률(CAGR) 약 16% (베트남·중국·미국 등)</w:t>
      </w:r>
    </w:p>
    <w:p w14:paraId="66F2CF37" w14:textId="77777777" w:rsidR="000965D3" w:rsidRPr="00EF1AF6" w:rsidRDefault="000965D3" w:rsidP="000965D3">
      <w:pPr>
        <w:numPr>
          <w:ilvl w:val="0"/>
          <w:numId w:val="2"/>
        </w:numPr>
      </w:pPr>
      <w:r w:rsidRPr="00EF1AF6">
        <w:t>2025년 수출액 전년 대비 약 19% 증가 예상 (매출 증가율 12.5% 상회)</w:t>
      </w:r>
    </w:p>
    <w:p w14:paraId="0C0454DD" w14:textId="77777777" w:rsidR="000965D3" w:rsidRPr="00EF1AF6" w:rsidRDefault="000965D3" w:rsidP="000965D3">
      <w:pPr>
        <w:numPr>
          <w:ilvl w:val="0"/>
          <w:numId w:val="2"/>
        </w:numPr>
      </w:pPr>
      <w:r w:rsidRPr="00EF1AF6">
        <w:t>수출 비중 14%(2017년) → 21%(2025년 예상) 확대</w:t>
      </w:r>
    </w:p>
    <w:p w14:paraId="1D385AA2" w14:textId="77777777" w:rsidR="000965D3" w:rsidRPr="00EF1AF6" w:rsidRDefault="000965D3" w:rsidP="000965D3">
      <w:r w:rsidRPr="00EF1AF6">
        <w:t xml:space="preserve">또한 IH 기술 기반 </w:t>
      </w:r>
      <w:proofErr w:type="spellStart"/>
      <w:r w:rsidRPr="00EF1AF6">
        <w:t>인덕션</w:t>
      </w:r>
      <w:proofErr w:type="spellEnd"/>
      <w:r w:rsidRPr="00EF1AF6">
        <w:t>·음식물처리기 등으로 사업을 확장하며, 소형가전 매출 비중이 2018년 2%에서 2024년 22%, 2025년 3분기 29%까지 확대되는 등 구조적 성장 국면에 진입했다고 평가했다.</w:t>
      </w:r>
    </w:p>
    <w:p w14:paraId="64ADEE59" w14:textId="77777777" w:rsidR="000965D3" w:rsidRPr="000965D3" w:rsidRDefault="000965D3" w:rsidP="00EF1AF6"/>
    <w:p w14:paraId="6F318BA1" w14:textId="5AC6A2E9" w:rsidR="000479D1" w:rsidRDefault="000479D1" w:rsidP="00EF1AF6">
      <w:r>
        <w:rPr>
          <w:noProof/>
        </w:rPr>
        <w:drawing>
          <wp:inline distT="0" distB="0" distL="0" distR="0" wp14:anchorId="1164B591" wp14:editId="5F9624E2">
            <wp:extent cx="5193102" cy="2579298"/>
            <wp:effectExtent l="0" t="0" r="7620" b="12065"/>
            <wp:docPr id="304159178" name="차트 1">
              <a:extLst xmlns:a="http://schemas.openxmlformats.org/drawingml/2006/main">
                <a:ext uri="{FF2B5EF4-FFF2-40B4-BE49-F238E27FC236}">
                  <a16:creationId xmlns:a16="http://schemas.microsoft.com/office/drawing/2014/main" id="{D0095A33-2A75-EA1E-0BB1-F35741517C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21BF663" w14:textId="02EE0926" w:rsidR="000479D1" w:rsidRPr="000479D1" w:rsidRDefault="000479D1" w:rsidP="00EF1AF6">
      <w:r>
        <w:rPr>
          <w:noProof/>
        </w:rPr>
        <w:lastRenderedPageBreak/>
        <w:drawing>
          <wp:inline distT="0" distB="0" distL="0" distR="0" wp14:anchorId="00E1B3E0" wp14:editId="1E4E7B57">
            <wp:extent cx="5201729" cy="2846705"/>
            <wp:effectExtent l="0" t="0" r="18415" b="10795"/>
            <wp:docPr id="1682428042" name="차트 1">
              <a:extLst xmlns:a="http://schemas.openxmlformats.org/drawingml/2006/main">
                <a:ext uri="{FF2B5EF4-FFF2-40B4-BE49-F238E27FC236}">
                  <a16:creationId xmlns:a16="http://schemas.microsoft.com/office/drawing/2014/main" id="{074ADDCB-71AD-4462-2B64-6DBA260842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0479D1" w:rsidRPr="000479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3BDFF" w14:textId="77777777" w:rsidR="00A97196" w:rsidRDefault="00A97196" w:rsidP="000479D1">
      <w:pPr>
        <w:spacing w:after="0"/>
      </w:pPr>
      <w:r>
        <w:separator/>
      </w:r>
    </w:p>
  </w:endnote>
  <w:endnote w:type="continuationSeparator" w:id="0">
    <w:p w14:paraId="60AC05A8" w14:textId="77777777" w:rsidR="00A97196" w:rsidRDefault="00A97196" w:rsidP="000479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5BA08" w14:textId="77777777" w:rsidR="00A97196" w:rsidRDefault="00A97196" w:rsidP="000479D1">
      <w:pPr>
        <w:spacing w:after="0"/>
      </w:pPr>
      <w:r>
        <w:separator/>
      </w:r>
    </w:p>
  </w:footnote>
  <w:footnote w:type="continuationSeparator" w:id="0">
    <w:p w14:paraId="02AEB806" w14:textId="77777777" w:rsidR="00A97196" w:rsidRDefault="00A97196" w:rsidP="000479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E5DF7"/>
    <w:multiLevelType w:val="multilevel"/>
    <w:tmpl w:val="3248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567B3"/>
    <w:multiLevelType w:val="multilevel"/>
    <w:tmpl w:val="1270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243021">
    <w:abstractNumId w:val="0"/>
  </w:num>
  <w:num w:numId="2" w16cid:durableId="1687823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02"/>
    <w:rsid w:val="000479D1"/>
    <w:rsid w:val="000965D3"/>
    <w:rsid w:val="000E45DA"/>
    <w:rsid w:val="00104C6B"/>
    <w:rsid w:val="00295802"/>
    <w:rsid w:val="00315221"/>
    <w:rsid w:val="003A6137"/>
    <w:rsid w:val="00A114C4"/>
    <w:rsid w:val="00A81F2F"/>
    <w:rsid w:val="00A97196"/>
    <w:rsid w:val="00AC10B1"/>
    <w:rsid w:val="00AE5BF9"/>
    <w:rsid w:val="00B03F4C"/>
    <w:rsid w:val="00DC1A39"/>
    <w:rsid w:val="00EE323D"/>
    <w:rsid w:val="00EF1AF6"/>
    <w:rsid w:val="00F70AC5"/>
    <w:rsid w:val="00FD004D"/>
    <w:rsid w:val="00FD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A65D9"/>
  <w15:chartTrackingRefBased/>
  <w15:docId w15:val="{F8CF507A-771E-4075-AB12-09F36CFE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958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5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5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58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58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58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58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58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58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958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958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958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95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95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95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95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95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958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958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95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58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95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5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9580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580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580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5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9580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95802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Char3"/>
    <w:uiPriority w:val="99"/>
    <w:semiHidden/>
    <w:unhideWhenUsed/>
    <w:rsid w:val="00EF1AF6"/>
  </w:style>
  <w:style w:type="character" w:customStyle="1" w:styleId="Char3">
    <w:name w:val="날짜 Char"/>
    <w:basedOn w:val="a0"/>
    <w:link w:val="aa"/>
    <w:uiPriority w:val="99"/>
    <w:semiHidden/>
    <w:rsid w:val="00EF1AF6"/>
  </w:style>
  <w:style w:type="paragraph" w:styleId="ab">
    <w:name w:val="header"/>
    <w:basedOn w:val="a"/>
    <w:link w:val="Char4"/>
    <w:uiPriority w:val="99"/>
    <w:unhideWhenUsed/>
    <w:rsid w:val="000479D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b"/>
    <w:uiPriority w:val="99"/>
    <w:rsid w:val="000479D1"/>
  </w:style>
  <w:style w:type="paragraph" w:styleId="ac">
    <w:name w:val="footer"/>
    <w:basedOn w:val="a"/>
    <w:link w:val="Char5"/>
    <w:uiPriority w:val="99"/>
    <w:unhideWhenUsed/>
    <w:rsid w:val="000479D1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c"/>
    <w:uiPriority w:val="99"/>
    <w:rsid w:val="0004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d58f68ee6bfa942/&#48148;&#53461;%20&#54868;&#47732;/&#47928;&#49436;/(Fundamental)&#47532;&#49436;&#52824;/(&#51452;&#49885;)&#44060;&#48324;&#51333;&#47785;/&#53216;&#53216;&#54848;&#46377;&#49828;/&#53216;&#53216;&#54848;&#46377;&#49828;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d58f68ee6bfa942/&#48148;&#53461;%20&#54868;&#47732;/&#47928;&#49436;/(Fundamental)&#47532;&#49436;&#52824;/(&#51452;&#49885;)&#44060;&#48324;&#51333;&#47785;/&#53216;&#53216;&#54848;&#46377;&#49828;/&#53216;&#53216;&#54848;&#46377;&#49828;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o-KR"/>
              <a:t>수출액</a:t>
            </a:r>
            <a:r>
              <a:rPr lang="en-US"/>
              <a:t>,</a:t>
            </a:r>
            <a:r>
              <a:rPr lang="ko-KR"/>
              <a:t>수출비중</a:t>
            </a:r>
            <a:r>
              <a:rPr lang="en-US"/>
              <a:t>(</a:t>
            </a:r>
            <a:r>
              <a:rPr lang="ko-KR"/>
              <a:t>단위</a:t>
            </a:r>
            <a:r>
              <a:rPr lang="en-US"/>
              <a:t>:10</a:t>
            </a:r>
            <a:r>
              <a:rPr lang="ko-KR"/>
              <a:t>억</a:t>
            </a:r>
            <a:r>
              <a:rPr lang="en-US"/>
              <a:t>)</a:t>
            </a:r>
            <a:endParaRPr lang="ko-K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o-KR" alt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Sheet2!$D$24</c:f>
              <c:strCache>
                <c:ptCount val="1"/>
                <c:pt idx="0">
                  <c:v>수출비중(우)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o-KR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Sheet2!$E$1:$L$1</c:f>
              <c:numCache>
                <c:formatCode>General</c:formatCode>
                <c:ptCount val="8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</c:numCache>
            </c:numRef>
          </c:cat>
          <c:val>
            <c:numRef>
              <c:f>Sheet2!$E$24:$L$24</c:f>
              <c:numCache>
                <c:formatCode>0%</c:formatCode>
                <c:ptCount val="8"/>
                <c:pt idx="0">
                  <c:v>0.1363157754438343</c:v>
                </c:pt>
                <c:pt idx="1">
                  <c:v>0.12347150595180176</c:v>
                </c:pt>
                <c:pt idx="2">
                  <c:v>0.12731516095633064</c:v>
                </c:pt>
                <c:pt idx="3">
                  <c:v>0.12151855663964478</c:v>
                </c:pt>
                <c:pt idx="4">
                  <c:v>0.15646269425741013</c:v>
                </c:pt>
                <c:pt idx="5">
                  <c:v>0.19950956000677561</c:v>
                </c:pt>
                <c:pt idx="6">
                  <c:v>0.20098878359934844</c:v>
                </c:pt>
                <c:pt idx="7">
                  <c:v>0.21071309495539708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2A-424E-9931-846BDE8339C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91255248"/>
        <c:axId val="591253328"/>
      </c:barChart>
      <c:lineChart>
        <c:grouping val="standard"/>
        <c:varyColors val="0"/>
        <c:ser>
          <c:idx val="0"/>
          <c:order val="0"/>
          <c:tx>
            <c:strRef>
              <c:f>Sheet2!$D$22</c:f>
              <c:strCache>
                <c:ptCount val="1"/>
                <c:pt idx="0">
                  <c:v>수출(좌)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o-K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Sheet2!$E$1:$L$1</c:f>
              <c:numCache>
                <c:formatCode>General</c:formatCode>
                <c:ptCount val="8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</c:numCache>
            </c:numRef>
          </c:cat>
          <c:val>
            <c:numRef>
              <c:f>Sheet2!$E$22:$L$22</c:f>
              <c:numCache>
                <c:formatCode>#,##0_);[Red]\(#,##0\)</c:formatCode>
                <c:ptCount val="8"/>
                <c:pt idx="0">
                  <c:v>61.365000000000002</c:v>
                </c:pt>
                <c:pt idx="1">
                  <c:v>60.908000000000001</c:v>
                </c:pt>
                <c:pt idx="2">
                  <c:v>67.262</c:v>
                </c:pt>
                <c:pt idx="3">
                  <c:v>71.427999999999997</c:v>
                </c:pt>
                <c:pt idx="4">
                  <c:v>107.194</c:v>
                </c:pt>
                <c:pt idx="5">
                  <c:v>150.75899999999999</c:v>
                </c:pt>
                <c:pt idx="6">
                  <c:v>155.21600000000001</c:v>
                </c:pt>
                <c:pt idx="7">
                  <c:v>175.69300000000001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2A-424E-9931-846BDE8339C6}"/>
            </c:ext>
          </c:extLst>
        </c:ser>
        <c:ser>
          <c:idx val="1"/>
          <c:order val="1"/>
          <c:tx>
            <c:strRef>
              <c:f>Sheet2!$D$23</c:f>
              <c:strCache>
                <c:ptCount val="1"/>
                <c:pt idx="0">
                  <c:v>총매출(좌)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o-K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Sheet2!$E$1:$L$1</c:f>
              <c:numCache>
                <c:formatCode>General</c:formatCode>
                <c:ptCount val="8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</c:numCache>
            </c:numRef>
          </c:cat>
          <c:val>
            <c:numRef>
              <c:f>Sheet2!$E$23:$L$23</c:f>
              <c:numCache>
                <c:formatCode>#,##0_);[Red]\(#,##0\)</c:formatCode>
                <c:ptCount val="8"/>
                <c:pt idx="0">
                  <c:v>450.16800000000001</c:v>
                </c:pt>
                <c:pt idx="1">
                  <c:v>493.29599999999999</c:v>
                </c:pt>
                <c:pt idx="2">
                  <c:v>528.31100000000004</c:v>
                </c:pt>
                <c:pt idx="3">
                  <c:v>587.79499999999996</c:v>
                </c:pt>
                <c:pt idx="4">
                  <c:v>685.10900000000004</c:v>
                </c:pt>
                <c:pt idx="5">
                  <c:v>755.64800000000002</c:v>
                </c:pt>
                <c:pt idx="6">
                  <c:v>772.26199999999994</c:v>
                </c:pt>
                <c:pt idx="7">
                  <c:v>833.80200000000002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92A-424E-9931-846BDE8339C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91234608"/>
        <c:axId val="591261968"/>
      </c:lineChart>
      <c:catAx>
        <c:axId val="59123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o-KR"/>
          </a:p>
        </c:txPr>
        <c:crossAx val="591261968"/>
        <c:crosses val="autoZero"/>
        <c:auto val="1"/>
        <c:lblAlgn val="ctr"/>
        <c:lblOffset val="100"/>
        <c:noMultiLvlLbl val="0"/>
      </c:catAx>
      <c:valAx>
        <c:axId val="591261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[Red]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o-KR"/>
          </a:p>
        </c:txPr>
        <c:crossAx val="591234608"/>
        <c:crosses val="autoZero"/>
        <c:crossBetween val="between"/>
      </c:valAx>
      <c:valAx>
        <c:axId val="591253328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o-KR"/>
          </a:p>
        </c:txPr>
        <c:crossAx val="591255248"/>
        <c:crosses val="max"/>
        <c:crossBetween val="between"/>
      </c:valAx>
      <c:catAx>
        <c:axId val="5912552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9125332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o-K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800"/>
      </a:pPr>
      <a:endParaRPr lang="ko-K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o-KR" altLang="en-US"/>
              <a:t>생활</a:t>
            </a:r>
            <a:r>
              <a:rPr lang="ko-KR"/>
              <a:t>가전 매출추이</a:t>
            </a:r>
            <a:r>
              <a:rPr lang="en-US"/>
              <a:t>(</a:t>
            </a:r>
            <a:r>
              <a:rPr lang="ko-KR"/>
              <a:t>단위</a:t>
            </a:r>
            <a:r>
              <a:rPr lang="en-US"/>
              <a:t>:10</a:t>
            </a:r>
            <a:r>
              <a:rPr lang="ko-KR"/>
              <a:t>억</a:t>
            </a:r>
            <a:r>
              <a:rPr lang="en-US"/>
              <a:t>)</a:t>
            </a:r>
            <a:endParaRPr lang="ko-K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o-KR" alt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Sheet2!$D$38</c:f>
              <c:strCache>
                <c:ptCount val="1"/>
                <c:pt idx="0">
                  <c:v>매출비중(우)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o-K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Sheet2!$F$1:$L$1</c:f>
              <c:numCache>
                <c:formatCode>General</c:formatCod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numCache>
            </c:numRef>
          </c:cat>
          <c:val>
            <c:numRef>
              <c:f>Sheet2!$F$38:$L$38</c:f>
              <c:numCache>
                <c:formatCode>0%</c:formatCode>
                <c:ptCount val="7"/>
                <c:pt idx="0">
                  <c:v>2.0906311829003276E-2</c:v>
                </c:pt>
                <c:pt idx="1">
                  <c:v>1.3168379988302345E-2</c:v>
                </c:pt>
                <c:pt idx="2">
                  <c:v>2.7269711378967158E-2</c:v>
                </c:pt>
                <c:pt idx="3">
                  <c:v>7.9448671671223117E-2</c:v>
                </c:pt>
                <c:pt idx="4">
                  <c:v>0.14633533073600408</c:v>
                </c:pt>
                <c:pt idx="5">
                  <c:v>0.15112746710313341</c:v>
                </c:pt>
                <c:pt idx="6">
                  <c:v>0.22347032029186786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61-4E8D-86FD-B2E22557A6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4191600"/>
        <c:axId val="1244180560"/>
      </c:barChart>
      <c:lineChart>
        <c:grouping val="standard"/>
        <c:varyColors val="0"/>
        <c:ser>
          <c:idx val="0"/>
          <c:order val="0"/>
          <c:tx>
            <c:strRef>
              <c:f>Sheet2!$D$37</c:f>
              <c:strCache>
                <c:ptCount val="1"/>
                <c:pt idx="0">
                  <c:v>소형가전(좌)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ko-K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Sheet2!$F$1:$L$1</c:f>
              <c:numCache>
                <c:formatCode>General</c:formatCod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numCache>
            </c:numRef>
          </c:cat>
          <c:val>
            <c:numRef>
              <c:f>Sheet2!$F$37:$L$37</c:f>
              <c:numCache>
                <c:formatCode>#,##0_);[Red]\(#,##0\)</c:formatCode>
                <c:ptCount val="7"/>
                <c:pt idx="0">
                  <c:v>10.313000000000001</c:v>
                </c:pt>
                <c:pt idx="1">
                  <c:v>6.9570000000000007</c:v>
                </c:pt>
                <c:pt idx="2">
                  <c:v>16.029</c:v>
                </c:pt>
                <c:pt idx="3">
                  <c:v>54.431000000000004</c:v>
                </c:pt>
                <c:pt idx="4">
                  <c:v>110.578</c:v>
                </c:pt>
                <c:pt idx="5">
                  <c:v>116.71</c:v>
                </c:pt>
                <c:pt idx="6">
                  <c:v>186.33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A61-4E8D-86FD-B2E22557A6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44188720"/>
        <c:axId val="1244190640"/>
      </c:lineChart>
      <c:catAx>
        <c:axId val="1244188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o-KR"/>
          </a:p>
        </c:txPr>
        <c:crossAx val="1244190640"/>
        <c:crosses val="autoZero"/>
        <c:auto val="1"/>
        <c:lblAlgn val="ctr"/>
        <c:lblOffset val="100"/>
        <c:noMultiLvlLbl val="0"/>
      </c:catAx>
      <c:valAx>
        <c:axId val="1244190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[Red]\(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o-KR"/>
          </a:p>
        </c:txPr>
        <c:crossAx val="1244188720"/>
        <c:crosses val="autoZero"/>
        <c:crossBetween val="between"/>
      </c:valAx>
      <c:valAx>
        <c:axId val="1244180560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o-KR"/>
          </a:p>
        </c:txPr>
        <c:crossAx val="1244191600"/>
        <c:crosses val="max"/>
        <c:crossBetween val="between"/>
      </c:valAx>
      <c:catAx>
        <c:axId val="12441916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441805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o-K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800"/>
      </a:pPr>
      <a:endParaRPr lang="ko-K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자산운용본부 밸류파트너스자산운용</dc:creator>
  <cp:keywords/>
  <dc:description/>
  <cp:lastModifiedBy>종엽 윤</cp:lastModifiedBy>
  <cp:revision>2</cp:revision>
  <dcterms:created xsi:type="dcterms:W3CDTF">2026-02-26T00:45:00Z</dcterms:created>
  <dcterms:modified xsi:type="dcterms:W3CDTF">2026-02-26T00:45:00Z</dcterms:modified>
</cp:coreProperties>
</file>